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drawing>
          <wp:inline distT="0" distB="0" distL="0" distR="0">
            <wp:extent cx="6645910" cy="66459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</w:rPr>
        <w:t xml:space="preserve">Вопрос: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4"/>
          <w:highlight w:val="white"/>
        </w:rPr>
        <w:t>В случае подачи документов в бумажном виде в Росреестр юридическим лицом в офисах приёма-выдачи документов после 1 марта 2025 года будет проведена регистрация прав, ограничений?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Ответ: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1 марта 2025 года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вступает в силу Федеральный закон от 26.12.2024 № 487-Ф3 «О внесении изменений в отдельные законодательные акты Российской Федерации», согласно которому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юридические лица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только в форме электронных документов.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В случае поступления документов в целях осуществления регистрационных действий в форме документов на бумажном носителе посредством офисов приёма-выдачи документов,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документы будут возвращены заявителю 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на основании ст. 25 Федерального закона от 13.07.2015 Nº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При возврате документов уплаченная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4"/>
          <w:highlight w:val="white"/>
        </w:rPr>
        <w:t>государственная пошлина также будет</w:t>
        <w:br/>
        <w:t>возвращена заявителю.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Обращаем внимание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,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Во избежание возвратов документов Управление обращает внимание юридических лиц на пилотные проекты для профессиональных участников рынка недвижимости по электронной регистрации, действующие в Алтайском крае: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Школа электронных услуг», «Ипотека за 24 часа», «Регистрация ДДУ за 60 минут», «Электронная регистрация в агентствах недвижимости».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br/>
        <w:t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и в свою очередь способствуют эффективной цифровой трансформации нашего региона.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2</Pages>
  <Words>228</Words>
  <Characters>1570</Characters>
  <CharactersWithSpaces>1861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2025-03-10T08:31:26Z</dcterms:modified>
  <cp:revision>4</cp:revision>
  <dc:subject/>
  <dc:title/>
</cp:coreProperties>
</file>