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4596798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981199" cy="73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                                                                     СТАТЬЯ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62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62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Увеличение госпошлины за действия с недвижимостью.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r>
    </w:p>
    <w:p>
      <w:pPr>
        <w:pStyle w:val="62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629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С 01.01.2025 изменяется порядок уплаты и размеры государственной пошлины за действия с недви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жимостью. Речь пойдет о федеральных законах от 12.07.2024 № 176-ФЗ, от 22.07.2024 № 207-ФЗ, от 29.10.2024 № 362-ФЗ «О внесении изменений в части первую и вторую Налогового кодекса Российской Федерации и отдельные законодательные акты Российской Федерации».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Liberation Serif" w:cs="Liberation Serif"/>
          <w:sz w:val="28"/>
          <w:szCs w:val="28"/>
        </w:rPr>
        <w:t xml:space="preserve">С 01.01.2025 вступают в силу положения Законов № 176-ФЗ, № 207-ФЗ, № 362-ФЗ, которыми вносятся изменения в Закон № 218-ФЗ и Налоговый кодекс РФ: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Liberation Serif" w:cs="Liberation Serif"/>
          <w:sz w:val="28"/>
          <w:szCs w:val="28"/>
        </w:rPr>
        <w:t xml:space="preserve">- устанавливается государственная пошлина за осуществление государственного кадастрового учета и единой учетно-регистрационной процедуры.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Ранее государственная пошлина уплачивалась только за государственную регистрацию прав, сделки и обременение   недвижимости.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Liberation Serif" w:cs="Liberation Serif"/>
          <w:sz w:val="28"/>
          <w:szCs w:val="28"/>
        </w:rPr>
        <w:t xml:space="preserve">- устанавливается двойной тариф государственной пошлины за сокращение срока осуществления учетно-регистрационных действий до 1 рабочего дня. </w:t>
      </w:r>
      <w:r>
        <w:rPr>
          <w:rFonts w:ascii="PT Astra Serif" w:hAnsi="PT Astra Serif"/>
          <w:sz w:val="28"/>
          <w:szCs w:val="28"/>
        </w:rPr>
      </w:r>
    </w:p>
    <w:p>
      <w:pPr>
        <w:pStyle w:val="629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Liberation Serif" w:cs="Liberation Serif"/>
          <w:sz w:val="28"/>
          <w:szCs w:val="28"/>
        </w:rPr>
        <w:t xml:space="preserve">- увеличивается размер государственной пошлины за большинство регистрационных действий, минимум в два раза.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Для физических лиц в отношении объекта недвижимости, кадастровая стоимость которого  не определена или не превышает 20 миллионов рублей — 4000 руб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лей, для организаций — 44 000руюлей,  если кадастровая стоимость превышает 20 миллионов рублей то государственная пошлина рассчитывается как 0,02% кадастровой стоимости, но не менее 0,02% цены сделки являющейся основанием для перехода права собственности,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но не более 500 тысяч рублей для физических лиц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и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не более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1 млн рублей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для организаций. (пп.22 п.1 ст. 333.33 НК РФ)</w:t>
      </w:r>
      <w:r>
        <w:rPr>
          <w:rFonts w:ascii="PT Astra Serif" w:hAnsi="PT Astra Serif"/>
          <w:sz w:val="28"/>
          <w:szCs w:val="28"/>
        </w:rPr>
      </w:r>
    </w:p>
    <w:p>
      <w:pPr>
        <w:pStyle w:val="629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Liberation Serif" w:cs="Liberation Serif"/>
          <w:sz w:val="28"/>
          <w:szCs w:val="28"/>
        </w:rPr>
        <w:t xml:space="preserve">Таким образом, 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 размер государственной пошлины зависит от кадастровой с</w:t>
      </w:r>
      <w:r>
        <w:rPr>
          <w:rFonts w:ascii="PT Astra Serif" w:hAnsi="PT Astra Serif" w:eastAsia="Liberation Serif" w:cs="Liberation Serif"/>
          <w:sz w:val="28"/>
          <w:szCs w:val="28"/>
        </w:rPr>
        <w:t xml:space="preserve">тоимости объекта недвижимости, цены сделки, стоимости имущества, субъекта - заявителя (регистрация прав и единая процедура в отношении неспецифических объектов, регистрация права общей долевой собственности владельцев инвестиционных паев на недвижимость). 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Также обраща</w:t>
      </w:r>
      <w:r>
        <w:rPr>
          <w:rFonts w:ascii="PT Astra Serif" w:hAnsi="PT Astra Serif" w:cs="Times New Roman"/>
          <w:sz w:val="28"/>
          <w:szCs w:val="28"/>
        </w:rPr>
        <w:t xml:space="preserve">ем</w:t>
      </w:r>
      <w:r>
        <w:rPr>
          <w:rFonts w:ascii="PT Astra Serif" w:hAnsi="PT Astra Serif" w:cs="Times New Roman"/>
          <w:sz w:val="28"/>
          <w:szCs w:val="28"/>
        </w:rPr>
        <w:t xml:space="preserve"> Ваше внимание на содержание новой редакции ст</w:t>
      </w:r>
      <w:r>
        <w:rPr>
          <w:rFonts w:ascii="PT Astra Serif" w:hAnsi="PT Astra Serif" w:cs="Times New Roman"/>
          <w:sz w:val="28"/>
          <w:szCs w:val="28"/>
        </w:rPr>
        <w:t xml:space="preserve">атьи </w:t>
      </w:r>
      <w:r>
        <w:rPr>
          <w:rFonts w:ascii="PT Astra Serif" w:hAnsi="PT Astra Serif" w:cs="Times New Roman"/>
          <w:sz w:val="28"/>
          <w:szCs w:val="28"/>
        </w:rPr>
        <w:t xml:space="preserve"> 333.34-1 НК РФ, устанавливающей особенности уплаты государственной пошлины за осуществление учетно-регистрационных действий в отношении здания, сооружения и (или) расположенных в них помещений: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- в случае, если при осуществлении государственного кадастрового учета созданных здания, сооружения, государственного кадастрового учета и государственной регистрации прав на созданные здание, сооружение о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дновременно осуществляется государственный кадастровый учет всех расположенных в них помещений и (или) машино-мест, в том числе помещений, относящихся к имуществу общего пользования, государственная пошлина, предусмотренная пп. 22.2 и 22.4 п. 1 ст. 333.33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Налогового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 Кодекса, уплачивается только за осуществление государственного кадастрового учета здания, сооружени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я или за осуществление государственного кадастрового учета </w:t>
        <w:br/>
        <w:t xml:space="preserve">и государственной регистрации прав на здание, сооружение. Государственная пошлина за осуществление государственного кадастрового учета помещений и (или) машино-мест в таком случае не уплачивается.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- в случае осуществления государственного кадастрового учета всех помещений и (или) маши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но-мест, расположенных в здании или сооружении, сведения о которых содержатся в ЕГРН, государственная пошлина уплачивается в размере, предусмотренном пп. 22.2 п. 1 ст. 333.33 настоящего Кодекса, в отношении каждого такого помещения </w:t>
        <w:br/>
        <w:t xml:space="preserve">и (или) машино-места -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 2000 рублей для физических лиц и 22 000 рублей для организаций.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- в случае осуществления государственной реги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страции прав на все помещения и (или) машино - места, сведения о которых содержатся в ЕГРН, государственная пошлина уплачивается в размере, предусмотренном пп. 22 п.1 ст.333.33настоящего Кодекса, в отношении каждого такого помещения и (или) машино-места —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4000 рублей для физических лиц и 44 000 рублей для организаций. </w:t>
      </w:r>
      <w:r>
        <w:rPr>
          <w:rFonts w:ascii="PT Astra Serif" w:hAnsi="PT Astra Serif" w:eastAsia="Liberation Serif" w:cs="Liberation Serif"/>
          <w:sz w:val="28"/>
          <w:szCs w:val="28"/>
          <w:lang w:eastAsia="en-US"/>
        </w:rPr>
        <w:t xml:space="preserve">(пп.22 п.1 ст. 333.33 НК РФ)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- в случае осуществления одновременно государственного кадастрового учета и государственной регистрации прав на все помещения и (или) маш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ино-места, расположенные в здании или сооружении, сведения о которых содержатся в ЕГРН, государственная пошлина уплачивается в размере, предусмотренном пп. 22.4 п. 1 ст. 333.33 настоящего Кодекса, в отношении каждого такого помещения и (или) машино-места: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для физически лиц - 6 000 рублей, если кадастровая стоимость меньше 22 миллионов рублей и 2000 + 0,02% кадастровой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стоимости, если кадастровая стоимость объекта выше 22 миллионов рублей, для организаций — 66000 рублей, если кадастровая стоимость меньше 22 миллионов рублей и 22000 + 0,02% кадастровой стоимости, если кадастровая стоимость объекта выше 22 миллионов рублей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709"/>
        <w:jc w:val="both"/>
        <w:spacing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- в случае, если в результате реконструкции здания, сооружения изменены их параметры (количество этажей, площадь, в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ысота, произведены надстройка, перестройка, расширение), в связи с чем осуществляется государственный кадастровый учет изменений характеристик расположенных в них помещений, машино-мест или осуществляется государственный кадастровый учет созданных и (или)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образованных помещений, машино-мест, государственная пошлина, предусмотренная пп. 22.3 п. 1 ст. 333.33 настоящего Кодекса, уплачивается только за осуществление государственного кадастрового учета в связи с изменением характеристик таких здания, сооружения 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для физических лиц 1000 рублей, для организаций 2000 рублей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. Государственная пошлина за осуществление государственного кадастрового учета в связи с изменением характеристик помещений, машино-мест, а также за осуществление государственного кадастрового учета помещений, машино-мест в таком случае не уплачивается. </w:t>
      </w:r>
      <w:r>
        <w:rPr>
          <w:rFonts w:ascii="PT Astra Serif" w:hAnsi="PT Astra Serif"/>
          <w:sz w:val="28"/>
          <w:szCs w:val="28"/>
        </w:rPr>
      </w:r>
    </w:p>
    <w:p>
      <w:pPr>
        <w:pStyle w:val="617"/>
        <w:ind w:firstLine="0"/>
        <w:jc w:val="both"/>
        <w:spacing w:before="0" w:after="200" w:line="240" w:lineRule="auto"/>
        <w:rPr>
          <w:rFonts w:ascii="PT Astra Serif" w:hAnsi="PT Astra Serif" w:eastAsia="Arial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Изменения также коснули</w:t>
      </w: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  <w:t xml:space="preserve">сь регистрации прав и сделок на земельные участки из земель сельскохозяйственного назначения: регистрация прав и сделок — 700 рублей, в рамках Единой процедуры — 1000 рублей, за регистрацию доли в праве собственности на такой земельный участок — 200 рублей</w:t>
      </w:r>
      <w:r>
        <w:rPr>
          <w:rFonts w:ascii="PT Astra Serif" w:hAnsi="PT Astra Serif" w:eastAsia="Arial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617"/>
        <w:ind w:firstLine="0"/>
        <w:jc w:val="both"/>
        <w:spacing w:before="0" w:after="200"/>
        <w:rPr>
          <w:rFonts w:ascii="PT Astra Serif" w:hAnsi="PT Astra Serif" w:eastAsia="Arial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</w:r>
      <w:r>
        <w:rPr>
          <w:rFonts w:ascii="PT Astra Serif" w:hAnsi="PT Astra Serif" w:eastAsia="Arial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617"/>
        <w:ind w:firstLine="0"/>
        <w:jc w:val="both"/>
        <w:spacing w:before="0" w:after="200"/>
        <w:rPr>
          <w:rFonts w:ascii="PT Astra Serif" w:hAnsi="PT Astra Serif"/>
        </w:rPr>
      </w:pPr>
      <w:r>
        <w:rPr>
          <w:rFonts w:ascii="PT Astra Serif" w:hAnsi="PT Astra Serif" w:eastAsia="Arial" w:cs="Times New Roman" w:eastAsiaTheme="minorHAnsi"/>
          <w:sz w:val="28"/>
          <w:szCs w:val="28"/>
          <w:lang w:eastAsia="en-US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Noto Sans Mono CJK SC">
    <w:panose1 w:val="020B0502040504020204"/>
  </w:font>
  <w:font w:name="Liberation Mono">
    <w:panose1 w:val="020704090202050204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5"/>
    <w:link w:val="44"/>
    <w:uiPriority w:val="99"/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30"/>
    <w:uiPriority w:val="99"/>
    <w:rPr>
      <w:sz w:val="18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>
    <w:name w:val="Символ сноски"/>
    <w:qFormat/>
    <w:rPr>
      <w:vertAlign w:val="superscript"/>
    </w:rPr>
  </w:style>
  <w:style w:type="character" w:styleId="619">
    <w:name w:val="footnote reference"/>
    <w:rPr>
      <w:vertAlign w:val="superscript"/>
    </w:rPr>
  </w:style>
  <w:style w:type="character" w:styleId="620">
    <w:name w:val="Символ концевой сноски"/>
    <w:qFormat/>
    <w:rPr>
      <w:vertAlign w:val="superscript"/>
    </w:rPr>
  </w:style>
  <w:style w:type="character" w:styleId="621">
    <w:name w:val="endnote reference"/>
    <w:rPr>
      <w:vertAlign w:val="superscript"/>
    </w:rPr>
  </w:style>
  <w:style w:type="paragraph" w:styleId="622">
    <w:name w:val="Заголовок"/>
    <w:basedOn w:val="617"/>
    <w:next w:val="62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3">
    <w:name w:val="Body Text"/>
    <w:basedOn w:val="617"/>
    <w:pPr>
      <w:spacing w:before="0" w:after="140" w:line="276" w:lineRule="auto"/>
    </w:pPr>
  </w:style>
  <w:style w:type="paragraph" w:styleId="624">
    <w:name w:val="List"/>
    <w:basedOn w:val="623"/>
    <w:rPr>
      <w:rFonts w:ascii="PT Astra Serif" w:hAnsi="PT Astra Serif" w:cs="Noto Sans Devanagari"/>
    </w:rPr>
  </w:style>
  <w:style w:type="paragraph" w:styleId="625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6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27">
    <w:name w:val="No Spacing"/>
    <w:basedOn w:val="617"/>
    <w:uiPriority w:val="1"/>
    <w:qFormat/>
    <w:pPr>
      <w:spacing w:before="0" w:after="0" w:line="240" w:lineRule="auto"/>
    </w:pPr>
  </w:style>
  <w:style w:type="paragraph" w:styleId="628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paragraph" w:styleId="629">
    <w:name w:val="Текст в заданном формате"/>
    <w:basedOn w:val="617"/>
    <w:qFormat/>
    <w:rPr>
      <w:rFonts w:ascii="Liberation Mono" w:hAnsi="Liberation Mono" w:eastAsia="Noto Sans Mono CJK SC" w:cs="Liberation Mono"/>
      <w:sz w:val="20"/>
      <w:szCs w:val="20"/>
    </w:rPr>
  </w:style>
  <w:style w:type="paragraph" w:styleId="630">
    <w:name w:val="footnote text"/>
    <w:basedOn w:val="617"/>
    <w:pPr>
      <w:ind w:left="340" w:hanging="340"/>
      <w:suppressLineNumbers/>
    </w:pPr>
    <w:rPr>
      <w:sz w:val="20"/>
      <w:szCs w:val="20"/>
    </w:rPr>
  </w:style>
  <w:style w:type="numbering" w:styleId="631" w:default="1">
    <w:name w:val="No List"/>
    <w:uiPriority w:val="99"/>
    <w:semiHidden/>
    <w:unhideWhenUsed/>
    <w:qFormat/>
  </w:style>
  <w:style w:type="table" w:styleId="63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5</cp:revision>
  <dcterms:modified xsi:type="dcterms:W3CDTF">2025-01-17T06:15:49Z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