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Segoe UI" w:hAnsi="Segoe UI" w:eastAsia="Times New Roman" w:cs="Segoe UI"/>
          <w:b/>
          <w:bCs/>
          <w:sz w:val="32"/>
          <w:szCs w:val="32"/>
        </w:rPr>
      </w:pPr>
      <w:r>
        <w:rPr/>
      </w:r>
    </w:p>
    <w:p>
      <w:pPr>
        <w:pStyle w:val="Normal"/>
        <w:ind w:right="0" w:hanging="0"/>
        <w:jc w:val="left"/>
        <w:rPr/>
      </w:pPr>
      <w:r>
        <w:rPr/>
      </w:r>
    </w:p>
    <w:p>
      <w:pPr>
        <w:pStyle w:val="Normal"/>
        <w:jc w:val="left"/>
        <w:rPr>
          <w:rStyle w:val="Strong"/>
          <w:rFonts w:ascii="Times New Roman" w:hAnsi="Times New Roman" w:cs="Times New Roman"/>
          <w:b/>
          <w:bCs/>
          <w:i w:val="false"/>
          <w:i w:val="false"/>
          <w:iCs w:val="false"/>
          <w:color w:val="000000" w:themeColor="text1"/>
          <w:sz w:val="32"/>
          <w:szCs w:val="32"/>
        </w:rPr>
      </w:pPr>
      <w:r>
        <w:rPr>
          <w:rStyle w:val="Strong"/>
          <w:rFonts w:cs="Times New Roman"/>
          <w:b/>
          <w:bCs/>
          <w:i w:val="false"/>
          <w:iCs w:val="false"/>
          <w:color w:val="000000" w:themeColor="text1"/>
          <w:sz w:val="32"/>
          <w:szCs w:val="32"/>
          <w:lang w:eastAsia="ru-RU"/>
        </w:rPr>
        <w:t xml:space="preserve">Региональный Росреестр заботится о ветеранах Великой </w:t>
        <w:br/>
        <w:t>Отечественной войны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Специалисты Управления Росреестра по Алтайскому краю и ППК «Роскадастр» по Алтайскому краю на льготной основе оказывают ветеранам Великой Отечественной войны помощь по получению госуслуг в сфере недвижимости.</w:t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</w:rPr>
        <w:t>В Алтайском крае ветераны Великой Отечественной войны и приравненные к ним лица могут получать услуги Росреестра и Роскадастра у себя дома. Государственная регистрация прав на недвижимость, кадастровый учет, предоставление сведений из Единого государственного реестра недвижимости (ЕГРН) осуществляются в кратчайшие сроки.</w:t>
      </w:r>
      <w:r>
        <w:rPr>
          <w:rFonts w:cs="Times New Roman"/>
          <w:color w:val="C9211E"/>
          <w:sz w:val="28"/>
          <w:szCs w:val="28"/>
        </w:rPr>
        <w:t xml:space="preserve"> Так, оформление прав ветерана на объект недвижимости</w:t>
      </w:r>
      <w:r>
        <w:rPr>
          <w:rFonts w:cs="Times New Roman"/>
          <w:sz w:val="28"/>
          <w:szCs w:val="28"/>
        </w:rPr>
        <w:t xml:space="preserve"> и получение сведений из ЕГРН о таком объекте </w:t>
      </w:r>
      <w:r>
        <w:rPr>
          <w:rFonts w:cs="Times New Roman"/>
          <w:color w:val="C9211E"/>
          <w:sz w:val="28"/>
          <w:szCs w:val="28"/>
        </w:rPr>
        <w:t>сокращены до 1 рабочего дня.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fill="FFFFFF" w:val="clear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Оформить заявку на выезд специалистов Роскадастра ветераны или их представители могут по телефону 8 (3852) 55-76-47.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C9211E"/>
          <w:sz w:val="28"/>
          <w:szCs w:val="28"/>
          <w:shd w:fill="auto" w:val="clear"/>
        </w:rPr>
      </w:pPr>
      <w:r>
        <w:rPr>
          <w:rFonts w:cs="Times New Roman"/>
          <w:color w:val="C9211E"/>
          <w:sz w:val="28"/>
          <w:szCs w:val="28"/>
          <w:shd w:fill="FFFFFF" w:val="clear"/>
        </w:rPr>
        <w:t>Для тех, кому не требуется выезд специалиста на дом, но у кого есть вопросы по</w:t>
      </w:r>
      <w:r>
        <w:rPr>
          <w:rFonts w:cs="Times New Roman"/>
          <w:color w:val="C9211E"/>
          <w:sz w:val="28"/>
          <w:szCs w:val="28"/>
          <w:shd w:fill="auto" w:val="clear"/>
        </w:rPr>
        <w:t xml:space="preserve"> учету и регистрации земельных участков, домов, квартир, гаражей, дач и т.д., действуют прямые телефонные линии: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/>
          <w:color w:val="C9211E"/>
          <w:sz w:val="28"/>
          <w:szCs w:val="28"/>
          <w:shd w:fill="auto" w:val="clear"/>
        </w:rPr>
        <w:t>- по вопросам кадастрового учета земельных участков, кадастрового учета объектов капитального строительства и государственной регистрации прав</w:t>
      </w:r>
      <w:r>
        <w:rPr>
          <w:rFonts w:cs="Times New Roman"/>
          <w:color w:val="C9211E"/>
          <w:sz w:val="28"/>
          <w:szCs w:val="28"/>
          <w:shd w:fill="FFFFFF" w:val="clear"/>
        </w:rPr>
        <w:t xml:space="preserve"> по телефонам 8 (3852) 29-17-17 или 29-17-20;</w:t>
      </w:r>
    </w:p>
    <w:p>
      <w:pPr>
        <w:pStyle w:val="Normal"/>
        <w:widowControl/>
        <w:spacing w:lineRule="auto" w:line="240" w:before="0" w:after="0"/>
        <w:ind w:right="0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- по вопросам получения сведений из ЕГРН по телефону 8 (3852) 55-76-59 + короткий добавочный номер: 7185, 7184, 7183.</w:t>
      </w:r>
    </w:p>
    <w:p>
      <w:pPr>
        <w:pStyle w:val="Style18"/>
        <w:spacing w:lineRule="auto" w:line="240" w:before="0" w:after="0"/>
        <w:ind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  <w:drawing>
          <wp:inline distT="0" distB="0" distL="0" distR="0">
            <wp:extent cx="5143500" cy="51435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292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Style17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Style17"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Emphasis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7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Заголовок2"/>
    <w:basedOn w:val="13"/>
    <w:qFormat/>
    <w:pPr/>
    <w:rPr/>
  </w:style>
  <w:style w:type="paragraph" w:styleId="Style26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111111">
    <w:name w:val="Caption111111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1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2">
    <w:name w:val="Subtitle"/>
    <w:basedOn w:val="13"/>
    <w:qFormat/>
    <w:pPr/>
    <w:rPr/>
  </w:style>
  <w:style w:type="paragraph" w:styleId="Style33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184</Words>
  <Characters>1174</Characters>
  <CharactersWithSpaces>1424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2025-05-22T08:43:59Z</dcterms:modified>
  <cp:revision>19</cp:revision>
  <dc:subject/>
  <dc:title/>
</cp:coreProperties>
</file>