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spacing w:after="198" w:line="276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Росреестр актуализирует данные геодезических пунктов в Алтайском крае.</w:t>
      </w:r>
      <w:r>
        <w:rPr>
          <w:b/>
          <w:bCs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территории Алтайского края учтено 4086 пунктов государственной геодезической сети (далее - ГГС). Сведения об охранных зонах указанных пунктов ГГС внесены в Единый государственный реестр недвижимости. </w:t>
      </w:r>
      <w:r/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Управлением Росреестра по Алтайскому краю (далее - Управление) обследовано на местности 3040 пунктов ГГС.</w:t>
      </w:r>
      <w:r/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Обследование пунктов ГГС специалистами Управления проводится визуально на местности на предмет сохранности и пригодности пунктов для выполнения геодезических и картографических работ. </w:t>
      </w:r>
      <w:r/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Как показывают результаты обследования, некоторые пункты уничтожены полностью, а у многих отсутствуют наружные знаки - сигнал, металлическая пирамида, опознавательный столб, охранная окопка.</w:t>
      </w:r>
      <w:r/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Управление напоминает 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ниц их охранных зон которые составляют квадрат 4х4 метра, запрещается проводить работы, которые могут привести к их повреждению или уничтожению. Запрещается уничтожать, перемещать, засыпать или повреждать составные части пунктов, размещать объекты и предме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ты, которые могут препятствовать доступу </w:t>
        <w:br/>
        <w:t xml:space="preserve"> к пунктам.</w:t>
      </w:r>
      <w:r/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Елена Саулина, заместитель руководителя регионального Росреестра, отмечает: пункты ГГС важны и необходимы при проведении геодезических </w:t>
        <w:br/>
        <w:t xml:space="preserve"> и картографических работ, при осуществлении градостроительной </w:t>
        <w:br/>
        <w:t xml:space="preserve"> и кадастровой деятельности, землеустройства, недропольз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ования, иной деятельности, в том числе при установлении, изменении и уточнении прохождения Государственной границы Российской Федерации (включая </w:t>
        <w:br/>
        <w:t xml:space="preserve"> ее делимитацию, демаркацию), при установлении, изменении границ между субъектами Российской Федерации, границ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муниципальных образований.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2024-12-26T04:02:14Z</dcterms:modified>
</cp:coreProperties>
</file>