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rFonts w:ascii="Times New Roman" w:hAnsi="Times New Roman" w:cs="Times New Roman"/>
        </w:rPr>
      </w:pPr>
      <w:r>
        <w:rPr>
          <w:rFonts w:eastAsia="Calibri" w:cs="Times New Roman" w:ascii="Times New Roman" w:hAnsi="Times New Roman"/>
          <w:b/>
        </w:rPr>
        <w:t xml:space="preserve">  </w:t>
      </w:r>
      <w:r>
        <w:rPr>
          <w:rFonts w:cs="Times New Roman" w:ascii="Times New Roman" w:hAnsi="Times New Roman"/>
        </w:rPr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8"/>
        </w:rPr>
        <w:t xml:space="preserve">                                                                      </w:t>
      </w:r>
    </w:p>
    <w:p>
      <w:pPr>
        <w:pStyle w:val="Normal"/>
        <w:bidi w:val="0"/>
        <w:jc w:val="right"/>
        <w:rPr>
          <w:rFonts w:ascii="Times New Roman" w:hAnsi="Times New Roman" w:eastAsia="Times New Roman" w:cs="Times New Roman"/>
          <w:b/>
          <w:sz w:val="28"/>
        </w:rPr>
      </w:pPr>
      <w:r>
        <w:rPr>
          <w:rFonts w:eastAsia="Times New Roman" w:cs="Times New Roman" w:ascii="Times New Roman" w:hAnsi="Times New Roman"/>
          <w:b/>
          <w:sz w:val="28"/>
        </w:rPr>
        <w:t>ПРЕСС-РЕЛИЗ</w:t>
        <w:br/>
      </w:r>
    </w:p>
    <w:p>
      <w:pPr>
        <w:pStyle w:val="Normal"/>
        <w:bidi w:val="0"/>
        <w:spacing w:lineRule="auto" w:line="240" w:before="0" w:after="0"/>
        <w:jc w:val="left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  <w:sz w:val="30"/>
        </w:rPr>
        <w:t>Почти все объекты культурного наследия включены в Единый госреестр недвижимости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rFonts w:ascii="Times New Roman" w:hAnsi="Times New Roman" w:cs="Times New Roman"/>
          <w:b/>
          <w:sz w:val="26"/>
        </w:rPr>
      </w:pPr>
      <w:r>
        <w:rPr>
          <w:rFonts w:cs="Times New Roman" w:ascii="Times New Roman" w:hAnsi="Times New Roman"/>
          <w:b/>
          <w:sz w:val="26"/>
        </w:rPr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rFonts w:ascii="Times New Roman" w:hAnsi="Times New Roman" w:cs="Times New Roman"/>
          <w:b/>
          <w:sz w:val="26"/>
        </w:rPr>
      </w:pPr>
      <w:r>
        <w:rPr>
          <w:rFonts w:cs="Times New Roman" w:ascii="Times New Roman" w:hAnsi="Times New Roman"/>
          <w:b/>
          <w:sz w:val="26"/>
        </w:rPr>
        <w:t>В Единый государственный реестр недвижимости (ЕГРН) включено 99,8% объектов культурного наследия (ОКН) Алтайского края. На территории региона зарегистрировано 1638 таких объектов. Специалисты Роскадастра по Алтайскому краю подчеркнули важность внесения этих объектов в ЕГРН.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rFonts w:ascii="Times New Roman" w:hAnsi="Times New Roman" w:cs="Times New Roman"/>
          <w:b w:val="false"/>
          <w:i w:val="false"/>
          <w:strike w:val="false"/>
          <w:dstrike w:val="false"/>
          <w:sz w:val="26"/>
          <w:u w:val="none"/>
          <w:shd w:fill="FFFFFF" w:val="clear"/>
        </w:rPr>
      </w:pPr>
      <w:r>
        <w:rPr>
          <w:rFonts w:cs="Times New Roman" w:ascii="Times New Roman" w:hAnsi="Times New Roman"/>
          <w:b w:val="false"/>
          <w:i w:val="false"/>
          <w:strike w:val="false"/>
          <w:dstrike w:val="false"/>
          <w:sz w:val="26"/>
          <w:u w:val="none"/>
          <w:shd w:fill="FFFFFF" w:val="clear"/>
        </w:rPr>
        <w:t>Начало строительных работ, реконструкция или ремонт на территории объектов культурного наследия без соблюдения установленных норм может привести к штрафам и судебным разбирательствам. Владельцев таких объектов могут обязать устранить выявленные нарушения, а в крайних случаях имущество может быть изъято у собственника. Это возможно, если владельцы зданий, квартир, офисов или земельных участков нарушают законодательство в области охраны объектов культурного наследия.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rFonts w:ascii="Times New Roman" w:hAnsi="Times New Roman" w:cs="Times New Roman"/>
          <w:b w:val="false"/>
          <w:i w:val="false"/>
          <w:strike w:val="false"/>
          <w:dstrike w:val="false"/>
          <w:u w:val="none"/>
          <w:shd w:fill="FFFFFF" w:val="clear"/>
        </w:rPr>
      </w:pPr>
      <w:r>
        <w:rPr>
          <w:rFonts w:cs="Times New Roman" w:ascii="Times New Roman" w:hAnsi="Times New Roman"/>
          <w:b w:val="false"/>
          <w:i w:val="false"/>
          <w:strike w:val="false"/>
          <w:dstrike w:val="false"/>
          <w:sz w:val="26"/>
          <w:u w:val="none"/>
          <w:shd w:fill="FFFFFF" w:val="clear"/>
        </w:rPr>
        <w:t>«</w:t>
      </w:r>
      <w:r>
        <w:rPr>
          <w:rFonts w:cs="Times New Roman" w:ascii="Times New Roman" w:hAnsi="Times New Roman"/>
          <w:b w:val="false"/>
          <w:i/>
          <w:strike w:val="false"/>
          <w:dstrike w:val="false"/>
          <w:sz w:val="26"/>
          <w:u w:val="none"/>
          <w:shd w:fill="FFFFFF" w:val="clear"/>
        </w:rPr>
        <w:t>Здания или отдельные помещения, признанные объектами культурного наследия, могут находиться в частной собственности или аренде. Они могут использоваться под жилье, офисы, банки, кафе, магазины, медицинские учреждения, образовательные центры и другие цели. Владельцы этой недвижимости обязаны сохранять её исторический облик и использовать её строго по назначению. При возникновении повреждений или аварий они должны немедленно уведомлять органы охраны памятников культуры</w:t>
      </w:r>
      <w:r>
        <w:rPr>
          <w:rFonts w:cs="Times New Roman" w:ascii="Times New Roman" w:hAnsi="Times New Roman"/>
          <w:b w:val="false"/>
          <w:i w:val="false"/>
          <w:strike w:val="false"/>
          <w:dstrike w:val="false"/>
          <w:sz w:val="26"/>
          <w:u w:val="none"/>
          <w:shd w:fill="FFFFFF" w:val="clear"/>
        </w:rPr>
        <w:t xml:space="preserve">», – отметил </w:t>
      </w:r>
      <w:r>
        <w:rPr>
          <w:rFonts w:cs="Times New Roman" w:ascii="Times New Roman" w:hAnsi="Times New Roman"/>
          <w:b/>
          <w:i w:val="false"/>
          <w:strike w:val="false"/>
          <w:dstrike w:val="false"/>
          <w:sz w:val="26"/>
          <w:u w:val="none"/>
          <w:shd w:fill="FFFFFF" w:val="clear"/>
        </w:rPr>
        <w:t>заместитель директора Роскадастра по Алтайскому краю Игорь Штайнепрайс.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rFonts w:ascii="Times New Roman" w:hAnsi="Times New Roman" w:cs="Times New Roman"/>
          <w:b w:val="false"/>
          <w:i w:val="false"/>
          <w:strike w:val="false"/>
          <w:dstrike w:val="false"/>
          <w:sz w:val="26"/>
          <w:u w:val="none"/>
          <w:shd w:fill="FFFFFF" w:val="clear"/>
        </w:rPr>
      </w:pPr>
      <w:r>
        <w:rPr>
          <w:rFonts w:cs="Times New Roman" w:ascii="Times New Roman" w:hAnsi="Times New Roman"/>
          <w:b w:val="false"/>
          <w:i w:val="false"/>
          <w:strike w:val="false"/>
          <w:dstrike w:val="false"/>
          <w:sz w:val="26"/>
          <w:u w:val="none"/>
          <w:shd w:fill="FFFFFF" w:val="clear"/>
        </w:rPr>
        <w:t>Включение информации об объектах культурного и исторического значения в Единый государственный реестр недвижимости помогает защитить их от неправомерных действий. Помимо самих объектов культурного наследия, в ЕГРН также фиксируются данные о земельных участках, на которых расположены эти объекты (территории ОКН) и обеспечивающих их сохранение (охранные зоны ОКН).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rFonts w:ascii="Times New Roman" w:hAnsi="Times New Roman" w:cs="Times New Roman"/>
          <w:b w:val="false"/>
          <w:sz w:val="26"/>
        </w:rPr>
      </w:pPr>
      <w:r>
        <w:rPr>
          <w:rFonts w:cs="Times New Roman" w:ascii="Times New Roman" w:hAnsi="Times New Roman"/>
          <w:b w:val="false"/>
          <w:sz w:val="26"/>
        </w:rPr>
        <w:t>Чтобы сохранить историческое окружение объектов культурного наследия, вокруг них создаются специальные зоны охраны: охранная зона, зона регулирования застройки и хозяйственной деятельности, а также зона охраняемого природного ландшафта. В пределах охранной зоны любая хозяйственная деятельность запрещена, за исключением мероприятий, направленных на поддержание исторической или природной среды объекта.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rFonts w:ascii="Times New Roman" w:hAnsi="Times New Roman" w:cs="Times New Roman"/>
          <w:b w:val="false"/>
          <w:sz w:val="26"/>
        </w:rPr>
      </w:pPr>
      <w:r>
        <w:rPr>
          <w:rFonts w:cs="Times New Roman" w:ascii="Times New Roman" w:hAnsi="Times New Roman"/>
          <w:b w:val="false"/>
          <w:sz w:val="26"/>
        </w:rPr>
        <w:t>На территории самого ОКН запрещается любое новое строительство или проведение земляных работ, если они не связаны с восстановлением его первоначального вида.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rFonts w:ascii="Times New Roman" w:hAnsi="Times New Roman" w:cs="Times New Roman"/>
          <w:b w:val="false"/>
          <w:sz w:val="26"/>
        </w:rPr>
      </w:pPr>
      <w:r>
        <w:rPr>
          <w:rFonts w:cs="Times New Roman" w:ascii="Times New Roman" w:hAnsi="Times New Roman"/>
          <w:b w:val="false"/>
          <w:sz w:val="26"/>
        </w:rPr>
        <w:t>В зоне регулирования застройки и хозяйственной деятельности вводится специальный режим землепользования, который накладывает ограничения на строительство и хозяйственные мероприятия. Этот режим определяет требования к реконструкции уже существующих зданий и сооружений, например, сокращение этажности и высоты построек, использование определённых материалов при строительстве, а также соблюдение правил внешнего оформления зданий.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rFonts w:ascii="Times New Roman" w:hAnsi="Times New Roman" w:cs="Times New Roman"/>
          <w:b w:val="false"/>
          <w:sz w:val="26"/>
        </w:rPr>
      </w:pPr>
      <w:r>
        <w:rPr>
          <w:rFonts w:cs="Times New Roman" w:ascii="Times New Roman" w:hAnsi="Times New Roman"/>
          <w:b w:val="false"/>
          <w:sz w:val="26"/>
        </w:rPr>
        <w:t>Создание зоны охраняемого природного ландшафта предполагает введение запрета или ограничений на строительство и реконструкцию существующих зданий и сооружений в пределах данной зоны. Эти меры направлены на сохранение природных территорий, таких как долины рек, озёра, леса и открытые пространства, прилегающие к объектам культурного наследия.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/>
      </w:pPr>
      <w:r>
        <w:rPr>
          <w:rFonts w:cs="Times New Roman" w:ascii="Times New Roman" w:hAnsi="Times New Roman"/>
          <w:b w:val="false"/>
          <w:i/>
          <w:strike w:val="false"/>
          <w:dstrike w:val="false"/>
          <w:sz w:val="26"/>
          <w:u w:val="none"/>
          <w:shd w:fill="FFFFFF" w:val="clear"/>
        </w:rPr>
        <w:t xml:space="preserve">«Сейчас в ЕГРН имеются данные о 1633 объектах, что соответствует 99,8% от общего числа объектов, включённых в Государственный реестр объектов культурного наследия. Также в ЕГРН зафиксированы сведения о 2218 границах территорий ОКН и 2304 охранных зонах ОКН. Более половины всех объектов культурного наследия Алтайского края - памятники, посвящённые Великой Отечественной и Гражданской войнам»», - отметил </w:t>
      </w:r>
      <w:r>
        <w:rPr>
          <w:rFonts w:cs="Times New Roman" w:ascii="Times New Roman" w:hAnsi="Times New Roman"/>
          <w:b/>
          <w:i/>
          <w:strike w:val="false"/>
          <w:dstrike w:val="false"/>
          <w:sz w:val="26"/>
          <w:u w:val="none"/>
          <w:shd w:fill="FFFFFF" w:val="clear"/>
        </w:rPr>
        <w:t>Игорь Штайнепрайс.</w:t>
      </w:r>
    </w:p>
    <w:p>
      <w:pPr>
        <w:pStyle w:val="Normal"/>
        <w:bidi w:val="0"/>
        <w:spacing w:lineRule="auto" w:line="240" w:before="0" w:after="0"/>
        <w:ind w:firstLine="709" w:left="0" w:right="0"/>
        <w:jc w:val="both"/>
        <w:rPr>
          <w:i/>
          <w:shd w:fill="FFFFFF" w:val="clear"/>
        </w:rPr>
      </w:pPr>
      <w:r>
        <w:rPr>
          <w:i/>
          <w:shd w:fill="FFFFFF" w:val="clear"/>
        </w:rPr>
      </w:r>
    </w:p>
    <w:p>
      <w:pPr>
        <w:pStyle w:val="Normal"/>
        <w:bidi w:val="0"/>
        <w:spacing w:lineRule="auto" w:line="240" w:before="0" w:after="0"/>
        <w:jc w:val="both"/>
        <w:rPr>
          <w:rFonts w:ascii="Times New Roman" w:hAnsi="Times New Roman" w:cs="Times New Roman"/>
          <w:i/>
        </w:rPr>
      </w:pPr>
      <w:r>
        <w:rPr>
          <w:rFonts w:cs="Times New Roman" w:ascii="Times New Roman" w:hAnsi="Times New Roman"/>
          <w:i/>
        </w:rPr>
        <w:drawing>
          <wp:inline distT="0" distB="0" distL="0" distR="0">
            <wp:extent cx="6642100" cy="6642100"/>
            <wp:effectExtent l="0" t="0" r="0" b="0"/>
            <wp:docPr id="2" name="Objec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240" w:before="0" w:after="0"/>
        <w:jc w:val="both"/>
        <w:rPr>
          <w:rFonts w:ascii="Times New Roman" w:hAnsi="Times New Roman" w:cs="Times New Roman"/>
          <w:i/>
        </w:rPr>
      </w:pPr>
      <w:r>
        <w:rPr>
          <w:rFonts w:cs="Times New Roman" w:ascii="Times New Roman" w:hAnsi="Times New Roman"/>
          <w:i/>
        </w:rPr>
      </w:r>
    </w:p>
    <w:p>
      <w:pPr>
        <w:pStyle w:val="Normal"/>
        <w:bidi w:val="0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/>
          <w:sz w:val="22"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bidi w:val="0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/>
          <w:sz w:val="22"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bidi w:val="0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/>
          <w:sz w:val="22"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bidi w:val="0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/>
          <w:sz w:val="22"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bidi w:val="0"/>
        <w:spacing w:lineRule="auto" w:line="240" w:before="0" w:after="0"/>
        <w:ind w:hanging="0" w:left="0" w:right="0"/>
        <w:jc w:val="lef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sectPr>
      <w:footerReference w:type="default" r:id="rId4"/>
      <w:type w:val="nextPage"/>
      <w:pgSz w:w="11906" w:h="16838"/>
      <w:pgMar w:left="720" w:right="720" w:gutter="0" w:header="0" w:top="720" w:footer="720" w:bottom="973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auto"/>
    <w:pitch w:val="default"/>
  </w:font>
  <w:font w:name="Arial">
    <w:charset w:val="cc"/>
    <w:family w:val="auto"/>
    <w:pitch w:val="default"/>
  </w:font>
  <w:font w:name="Tahoma">
    <w:charset w:val="cc"/>
    <w:family w:val="auto"/>
    <w:pitch w:val="default"/>
  </w:font>
  <w:font w:name="Liberation Sans">
    <w:altName w:val="Arial"/>
    <w:charset w:val="cc"/>
    <w:family w:val="auto"/>
    <w:pitch w:val="default"/>
  </w:font>
  <w:font w:name="Times New Roman">
    <w:charset w:val="cc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9"/>
        <w:tab w:val="center" w:pos="4675" w:leader="none"/>
        <w:tab w:val="right" w:pos="9354" w:leader="none"/>
      </w:tabs>
      <w:bidi w:val="0"/>
      <w:spacing w:lineRule="auto" w:line="240" w:before="0" w:after="0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ft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Tahoma"/>
        <w:color w:val="000000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basedOn w:val="DStyleparagraph"/>
    <w:qFormat/>
    <w:pPr>
      <w:spacing w:lineRule="auto" w:line="276" w:before="0" w:after="200"/>
      <w:jc w:val="left"/>
    </w:pPr>
    <w:rPr>
      <w:rFonts w:ascii="Calibri" w:hAnsi="Calibri" w:cs="Calibri"/>
      <w:color w:val="000000"/>
      <w:sz w:val="22"/>
      <w:lang w:val="ru-RU"/>
    </w:rPr>
  </w:style>
  <w:style w:type="paragraph" w:styleId="Heading1">
    <w:name w:val="Heading 1"/>
    <w:basedOn w:val="Normal1"/>
    <w:qFormat/>
    <w:pPr>
      <w:spacing w:before="480" w:after="200"/>
    </w:pPr>
    <w:rPr>
      <w:rFonts w:ascii="Arial" w:hAnsi="Arial" w:cs="Arial"/>
      <w:sz w:val="40"/>
    </w:rPr>
  </w:style>
  <w:style w:type="paragraph" w:styleId="Heading2">
    <w:name w:val="Heading 2"/>
    <w:basedOn w:val="Normal1"/>
    <w:qFormat/>
    <w:pPr>
      <w:spacing w:before="360" w:after="200"/>
    </w:pPr>
    <w:rPr>
      <w:rFonts w:ascii="Arial" w:hAnsi="Arial" w:cs="Arial"/>
      <w:sz w:val="34"/>
    </w:rPr>
  </w:style>
  <w:style w:type="paragraph" w:styleId="Heading3">
    <w:name w:val="Heading 3"/>
    <w:basedOn w:val="Normal1"/>
    <w:qFormat/>
    <w:pPr>
      <w:spacing w:before="320" w:after="200"/>
    </w:pPr>
    <w:rPr>
      <w:rFonts w:ascii="Arial" w:hAnsi="Arial" w:cs="Arial"/>
      <w:sz w:val="30"/>
    </w:rPr>
  </w:style>
  <w:style w:type="paragraph" w:styleId="Heading4">
    <w:name w:val="Heading 4"/>
    <w:basedOn w:val="Normal1"/>
    <w:qFormat/>
    <w:pPr>
      <w:spacing w:before="320" w:after="200"/>
    </w:pPr>
    <w:rPr>
      <w:rFonts w:ascii="Arial" w:hAnsi="Arial" w:cs="Arial"/>
      <w:b/>
      <w:sz w:val="26"/>
    </w:rPr>
  </w:style>
  <w:style w:type="paragraph" w:styleId="Heading5">
    <w:name w:val="Heading 5"/>
    <w:basedOn w:val="Normal1"/>
    <w:qFormat/>
    <w:pPr>
      <w:spacing w:before="320" w:after="200"/>
    </w:pPr>
    <w:rPr>
      <w:rFonts w:ascii="Arial" w:hAnsi="Arial" w:cs="Arial"/>
      <w:b/>
      <w:sz w:val="24"/>
    </w:rPr>
  </w:style>
  <w:style w:type="paragraph" w:styleId="Heading6">
    <w:name w:val="Heading 6"/>
    <w:basedOn w:val="Normal1"/>
    <w:qFormat/>
    <w:pPr>
      <w:spacing w:before="320" w:after="200"/>
    </w:pPr>
    <w:rPr>
      <w:rFonts w:ascii="Arial" w:hAnsi="Arial" w:cs="Arial"/>
      <w:b/>
      <w:sz w:val="22"/>
    </w:rPr>
  </w:style>
  <w:style w:type="paragraph" w:styleId="Heading7">
    <w:name w:val="Heading 7"/>
    <w:basedOn w:val="Normal1"/>
    <w:qFormat/>
    <w:pPr>
      <w:spacing w:before="320" w:after="200"/>
    </w:pPr>
    <w:rPr>
      <w:rFonts w:ascii="Arial" w:hAnsi="Arial" w:cs="Arial"/>
      <w:b/>
      <w:i/>
      <w:sz w:val="22"/>
    </w:rPr>
  </w:style>
  <w:style w:type="paragraph" w:styleId="Heading8">
    <w:name w:val="Heading 8"/>
    <w:basedOn w:val="Normal1"/>
    <w:qFormat/>
    <w:pPr>
      <w:spacing w:before="320" w:after="200"/>
    </w:pPr>
    <w:rPr>
      <w:rFonts w:ascii="Arial" w:hAnsi="Arial" w:cs="Arial"/>
      <w:i/>
      <w:sz w:val="22"/>
    </w:rPr>
  </w:style>
  <w:style w:type="paragraph" w:styleId="Heading9">
    <w:name w:val="Heading 9"/>
    <w:basedOn w:val="Normal1"/>
    <w:qFormat/>
    <w:pPr>
      <w:spacing w:before="320" w:after="200"/>
    </w:pPr>
    <w:rPr>
      <w:rFonts w:ascii="Arial" w:hAnsi="Arial" w:cs="Arial"/>
      <w:i/>
      <w:sz w:val="21"/>
    </w:rPr>
  </w:style>
  <w:style w:type="character" w:styleId="DStyletext">
    <w:name w:val="DStyle_text"/>
    <w:qFormat/>
    <w:rPr/>
  </w:style>
  <w:style w:type="character" w:styleId="Heading1Char">
    <w:name w:val="Heading 1 Char"/>
    <w:qFormat/>
    <w:rPr>
      <w:rFonts w:ascii="Arial" w:hAnsi="Arial" w:cs="Arial"/>
      <w:sz w:val="40"/>
    </w:rPr>
  </w:style>
  <w:style w:type="character" w:styleId="Heading2Char">
    <w:name w:val="Heading 2 Char"/>
    <w:qFormat/>
    <w:rPr>
      <w:rFonts w:ascii="Arial" w:hAnsi="Arial" w:cs="Arial"/>
      <w:sz w:val="34"/>
    </w:rPr>
  </w:style>
  <w:style w:type="character" w:styleId="Heading3Char">
    <w:name w:val="Heading 3 Char"/>
    <w:qFormat/>
    <w:rPr>
      <w:rFonts w:ascii="Arial" w:hAnsi="Arial" w:cs="Arial"/>
      <w:sz w:val="30"/>
    </w:rPr>
  </w:style>
  <w:style w:type="character" w:styleId="Heading4Char">
    <w:name w:val="Heading 4 Char"/>
    <w:qFormat/>
    <w:rPr>
      <w:rFonts w:ascii="Arial" w:hAnsi="Arial" w:cs="Arial"/>
      <w:b/>
      <w:sz w:val="26"/>
    </w:rPr>
  </w:style>
  <w:style w:type="character" w:styleId="Heading5Char">
    <w:name w:val="Heading 5 Char"/>
    <w:qFormat/>
    <w:rPr>
      <w:rFonts w:ascii="Arial" w:hAnsi="Arial" w:cs="Arial"/>
      <w:b/>
      <w:sz w:val="24"/>
    </w:rPr>
  </w:style>
  <w:style w:type="character" w:styleId="Heading6Char">
    <w:name w:val="Heading 6 Char"/>
    <w:qFormat/>
    <w:rPr>
      <w:rFonts w:ascii="Arial" w:hAnsi="Arial" w:cs="Arial"/>
      <w:b/>
      <w:sz w:val="22"/>
    </w:rPr>
  </w:style>
  <w:style w:type="character" w:styleId="Heading7Char">
    <w:name w:val="Heading 7 Char"/>
    <w:qFormat/>
    <w:rPr>
      <w:rFonts w:ascii="Arial" w:hAnsi="Arial" w:cs="Arial"/>
      <w:b/>
      <w:i/>
      <w:sz w:val="22"/>
    </w:rPr>
  </w:style>
  <w:style w:type="character" w:styleId="Heading8Char">
    <w:name w:val="Heading 8 Char"/>
    <w:qFormat/>
    <w:rPr>
      <w:rFonts w:ascii="Arial" w:hAnsi="Arial" w:cs="Arial"/>
      <w:i/>
      <w:sz w:val="22"/>
    </w:rPr>
  </w:style>
  <w:style w:type="character" w:styleId="Heading9Char">
    <w:name w:val="Heading 9 Char"/>
    <w:qFormat/>
    <w:rPr>
      <w:rFonts w:ascii="Arial" w:hAnsi="Arial" w:cs="Arial"/>
      <w:i/>
      <w:sz w:val="21"/>
    </w:rPr>
  </w:style>
  <w:style w:type="character" w:styleId="TitleChar">
    <w:name w:val="Title Char"/>
    <w:qFormat/>
    <w:rPr>
      <w:sz w:val="48"/>
    </w:rPr>
  </w:style>
  <w:style w:type="character" w:styleId="SubtitleChar">
    <w:name w:val="Subtitle Char"/>
    <w:qFormat/>
    <w:rPr>
      <w:sz w:val="24"/>
    </w:rPr>
  </w:style>
  <w:style w:type="character" w:styleId="QuoteChar">
    <w:name w:val="Quote Char"/>
    <w:qFormat/>
    <w:rPr>
      <w:i/>
    </w:rPr>
  </w:style>
  <w:style w:type="character" w:styleId="IntenseQuoteChar">
    <w:name w:val="Intense Quote Char"/>
    <w:qFormat/>
    <w:rPr>
      <w:i/>
    </w:rPr>
  </w:style>
  <w:style w:type="character" w:styleId="HeaderChar">
    <w:name w:val="Header Char"/>
    <w:qFormat/>
    <w:rPr/>
  </w:style>
  <w:style w:type="character" w:styleId="FooterChar">
    <w:name w:val="Footer Char"/>
    <w:qFormat/>
    <w:rPr/>
  </w:style>
  <w:style w:type="character" w:styleId="CaptionChar">
    <w:name w:val="Caption Char"/>
    <w:qFormat/>
    <w:rPr/>
  </w:style>
  <w:style w:type="character" w:styleId="Hyperlink1">
    <w:name w:val="Hyperlink1"/>
    <w:qFormat/>
    <w:rPr>
      <w:color w:val="0000FF"/>
      <w:u w:val="single"/>
    </w:rPr>
  </w:style>
  <w:style w:type="character" w:styleId="Hyperlink">
    <w:name w:val="Hyperlink"/>
    <w:rPr>
      <w:color w:val="0000FF"/>
      <w:u w:val="single"/>
    </w:rPr>
  </w:style>
  <w:style w:type="character" w:styleId="FootnoteTextChar">
    <w:name w:val="Footnote Text Char"/>
    <w:qFormat/>
    <w:rPr>
      <w:sz w:val="18"/>
    </w:rPr>
  </w:style>
  <w:style w:type="character" w:styleId="footnotereference">
    <w:name w:val="footnote reference"/>
    <w:qFormat/>
    <w:rPr>
      <w:vertAlign w:val="superscript"/>
    </w:rPr>
  </w:style>
  <w:style w:type="character" w:styleId="EndnoteTextChar">
    <w:name w:val="Endnote Text Char"/>
    <w:qFormat/>
    <w:rPr>
      <w:sz w:val="20"/>
    </w:rPr>
  </w:style>
  <w:style w:type="character" w:styleId="endnotereference">
    <w:name w:val="endnote reference"/>
    <w:qFormat/>
    <w:rPr>
      <w:vertAlign w:val="superscript"/>
    </w:rPr>
  </w:style>
  <w:style w:type="character" w:styleId="DefaultParagraphFont">
    <w:name w:val="Default Paragraph Font"/>
    <w:qFormat/>
    <w:rPr/>
  </w:style>
  <w:style w:type="character" w:styleId="Style5">
    <w:name w:val="Текст выноски Знак"/>
    <w:basedOn w:val="DefaultParagraphFont"/>
    <w:qFormat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Pr>
      <w:color w:val="954F72"/>
      <w:u w:val="single"/>
    </w:rPr>
  </w:style>
  <w:style w:type="character" w:styleId="DefaultParagraphFont1">
    <w:name w:val="Default Paragraph Font1"/>
    <w:qFormat/>
    <w:rPr/>
  </w:style>
  <w:style w:type="paragraph" w:styleId="DStyleparagraph">
    <w:name w:val="DStyle_paragraph"/>
    <w:qFormat/>
    <w:pPr>
      <w:widowControl w:val="false"/>
      <w:kinsoku w:val="true"/>
      <w:overflowPunct w:val="true"/>
      <w:autoSpaceDE w:val="true"/>
      <w:bidi w:val="0"/>
    </w:pPr>
    <w:rPr>
      <w:rFonts w:ascii="Calibri" w:hAnsi="Calibri" w:cs="Calibri" w:eastAsia="Tahoma"/>
      <w:color w:val="000000"/>
      <w:sz w:val="22"/>
      <w:szCs w:val="24"/>
      <w:lang w:val="ru-RU" w:eastAsia="zh-CN" w:bidi="hi-IN"/>
    </w:rPr>
  </w:style>
  <w:style w:type="paragraph" w:styleId="Normal1">
    <w:name w:val="Normal1"/>
    <w:basedOn w:val="DStyleparagraph"/>
    <w:qFormat/>
    <w:pPr/>
    <w:rPr/>
  </w:style>
  <w:style w:type="paragraph" w:styleId="Style6">
    <w:name w:val="Заголовок"/>
    <w:basedOn w:val="Normal"/>
    <w:qFormat/>
    <w:pPr>
      <w:spacing w:before="240" w:after="120"/>
    </w:pPr>
    <w:rPr>
      <w:rFonts w:ascii="Liberation Sans" w:hAnsi="Liberation Sans" w:cs="Liberation Sans"/>
      <w:sz w:val="28"/>
    </w:rPr>
  </w:style>
  <w:style w:type="paragraph" w:styleId="BodyText">
    <w:name w:val="Body Text"/>
    <w:basedOn w:val="Normal"/>
    <w:pPr>
      <w:spacing w:before="0" w:after="140"/>
    </w:pPr>
    <w:rPr/>
  </w:style>
  <w:style w:type="paragraph" w:styleId="ListParagraph">
    <w:name w:val="List Paragraph"/>
    <w:basedOn w:val="Normal1"/>
    <w:qFormat/>
    <w:pPr>
      <w:ind w:hanging="0" w:left="720" w:right="0"/>
    </w:pPr>
    <w:rPr/>
  </w:style>
  <w:style w:type="paragraph" w:styleId="NoSpacing">
    <w:name w:val="No Spacing"/>
    <w:basedOn w:val="DStyleparagraph"/>
    <w:qFormat/>
    <w:pPr>
      <w:spacing w:lineRule="auto" w:line="240" w:before="0" w:after="0"/>
    </w:pPr>
    <w:rPr/>
  </w:style>
  <w:style w:type="paragraph" w:styleId="Title">
    <w:name w:val="Title"/>
    <w:basedOn w:val="Normal1"/>
    <w:qFormat/>
    <w:pPr>
      <w:spacing w:before="300" w:after="200"/>
    </w:pPr>
    <w:rPr>
      <w:sz w:val="48"/>
    </w:rPr>
  </w:style>
  <w:style w:type="paragraph" w:styleId="Subtitle">
    <w:name w:val="Subtitle"/>
    <w:basedOn w:val="Normal1"/>
    <w:qFormat/>
    <w:pPr>
      <w:spacing w:before="200" w:after="200"/>
    </w:pPr>
    <w:rPr>
      <w:sz w:val="24"/>
    </w:rPr>
  </w:style>
  <w:style w:type="paragraph" w:styleId="Quote">
    <w:name w:val="Quote"/>
    <w:basedOn w:val="Normal1"/>
    <w:qFormat/>
    <w:pPr>
      <w:ind w:hanging="0" w:left="720" w:right="720"/>
    </w:pPr>
    <w:rPr>
      <w:i/>
    </w:rPr>
  </w:style>
  <w:style w:type="paragraph" w:styleId="IntenseQuote">
    <w:name w:val="Intense Quote"/>
    <w:basedOn w:val="Normal1"/>
    <w:qFormat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fill="F2F2F2" w:val="clear"/>
      <w:ind w:hanging="0" w:left="720" w:right="720"/>
    </w:pPr>
    <w:rPr>
      <w:i/>
    </w:rPr>
  </w:style>
  <w:style w:type="paragraph" w:styleId="Style7">
    <w:name w:val="Колонтитул"/>
    <w:basedOn w:val="Normal"/>
    <w:qFormat/>
    <w:pPr/>
    <w:rPr/>
  </w:style>
  <w:style w:type="paragraph" w:styleId="Header">
    <w:name w:val="Header"/>
    <w:basedOn w:val="Normal1"/>
    <w:pPr>
      <w:tabs>
        <w:tab w:val="clear" w:pos="709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1"/>
    <w:qFormat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1"/>
    <w:qFormat/>
    <w:pPr>
      <w:spacing w:lineRule="auto" w:line="240" w:before="0" w:after="0"/>
    </w:pPr>
    <w:rPr>
      <w:sz w:val="20"/>
    </w:rPr>
  </w:style>
  <w:style w:type="paragraph" w:styleId="toc1">
    <w:name w:val="toc 1"/>
    <w:basedOn w:val="Normal1"/>
    <w:qFormat/>
    <w:pPr>
      <w:spacing w:before="0" w:after="57"/>
      <w:ind w:hanging="0" w:left="0" w:right="0"/>
    </w:pPr>
    <w:rPr/>
  </w:style>
  <w:style w:type="paragraph" w:styleId="toc2">
    <w:name w:val="toc 2"/>
    <w:basedOn w:val="Normal1"/>
    <w:qFormat/>
    <w:pPr>
      <w:spacing w:before="0" w:after="57"/>
      <w:ind w:hanging="0" w:left="283" w:right="0"/>
    </w:pPr>
    <w:rPr/>
  </w:style>
  <w:style w:type="paragraph" w:styleId="toc3">
    <w:name w:val="toc 3"/>
    <w:basedOn w:val="Normal1"/>
    <w:qFormat/>
    <w:pPr>
      <w:spacing w:before="0" w:after="57"/>
      <w:ind w:hanging="0" w:left="567" w:right="0"/>
    </w:pPr>
    <w:rPr/>
  </w:style>
  <w:style w:type="paragraph" w:styleId="toc4">
    <w:name w:val="toc 4"/>
    <w:basedOn w:val="Normal1"/>
    <w:qFormat/>
    <w:pPr>
      <w:spacing w:before="0" w:after="57"/>
      <w:ind w:hanging="0" w:left="850" w:right="0"/>
    </w:pPr>
    <w:rPr/>
  </w:style>
  <w:style w:type="paragraph" w:styleId="toc5">
    <w:name w:val="toc 5"/>
    <w:basedOn w:val="Normal1"/>
    <w:qFormat/>
    <w:pPr>
      <w:spacing w:before="0" w:after="57"/>
      <w:ind w:hanging="0" w:left="1134" w:right="0"/>
    </w:pPr>
    <w:rPr/>
  </w:style>
  <w:style w:type="paragraph" w:styleId="toc6">
    <w:name w:val="toc 6"/>
    <w:basedOn w:val="Normal1"/>
    <w:qFormat/>
    <w:pPr>
      <w:spacing w:before="0" w:after="57"/>
      <w:ind w:hanging="0" w:left="1417" w:right="0"/>
    </w:pPr>
    <w:rPr/>
  </w:style>
  <w:style w:type="paragraph" w:styleId="toc7">
    <w:name w:val="toc 7"/>
    <w:basedOn w:val="Normal1"/>
    <w:qFormat/>
    <w:pPr>
      <w:spacing w:before="0" w:after="57"/>
      <w:ind w:hanging="0" w:left="1701" w:right="0"/>
    </w:pPr>
    <w:rPr/>
  </w:style>
  <w:style w:type="paragraph" w:styleId="toc8">
    <w:name w:val="toc 8"/>
    <w:basedOn w:val="Normal1"/>
    <w:qFormat/>
    <w:pPr>
      <w:spacing w:before="0" w:after="57"/>
      <w:ind w:hanging="0" w:left="1984" w:right="0"/>
    </w:pPr>
    <w:rPr/>
  </w:style>
  <w:style w:type="paragraph" w:styleId="toc9">
    <w:name w:val="toc 9"/>
    <w:basedOn w:val="Normal1"/>
    <w:qFormat/>
    <w:pPr>
      <w:spacing w:before="0" w:after="57"/>
      <w:ind w:hanging="0" w:left="2268" w:right="0"/>
    </w:pPr>
    <w:rPr/>
  </w:style>
  <w:style w:type="paragraph" w:styleId="TOCHeading">
    <w:name w:val="TOC Heading"/>
    <w:basedOn w:val="DStyleparagraph"/>
    <w:qFormat/>
    <w:pPr/>
    <w:rPr/>
  </w:style>
  <w:style w:type="paragraph" w:styleId="tableoffigures">
    <w:name w:val="table of figures"/>
    <w:basedOn w:val="Normal1"/>
    <w:qFormat/>
    <w:pPr>
      <w:spacing w:before="0" w:after="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pacing w:before="120" w:after="120"/>
    </w:pPr>
    <w:rPr>
      <w:i/>
      <w:sz w:val="24"/>
    </w:rPr>
  </w:style>
  <w:style w:type="paragraph" w:styleId="Style8">
    <w:name w:val="Указатель"/>
    <w:basedOn w:val="Normal"/>
    <w:qFormat/>
    <w:pPr/>
    <w:rPr/>
  </w:style>
  <w:style w:type="paragraph" w:styleId="indexheading">
    <w:name w:val="index heading"/>
    <w:basedOn w:val="Normal"/>
    <w:qFormat/>
    <w:pPr/>
    <w:rPr/>
  </w:style>
  <w:style w:type="paragraph" w:styleId="NormalWeb">
    <w:name w:val="Normal (Web)"/>
    <w:basedOn w:val="Normal"/>
    <w:qFormat/>
    <w:pPr>
      <w:spacing w:lineRule="auto" w:line="240" w:before="0" w:after="96"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</w:rPr>
  </w:style>
  <w:style w:type="paragraph" w:styleId="Style9">
    <w:name w:val="Верхний и нижний колонтитулы"/>
    <w:basedOn w:val="Normal"/>
    <w:qFormat/>
    <w:pPr/>
    <w:rPr/>
  </w:style>
  <w:style w:type="paragraph" w:styleId="Footer">
    <w:name w:val="Footer"/>
    <w:basedOn w:val="Style9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LibreOffice/24.2.4.2$Windows_X86_64 LibreOffice_project/51a6219feb6075d9a4c46691dcfe0cd9c4fff3c2</Application>
  <AppVersion>15.0000</AppVersion>
  <Pages>2</Pages>
  <Words>430</Words>
  <Characters>3088</Characters>
  <CharactersWithSpaces>3581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2022-03-22T18:30:00Z</dcterms:created>
  <dc:creator/>
  <dc:description/>
  <dc:language>ru-RU</dc:language>
  <cp:lastModifiedBy/>
  <dcterms:modified xsi:type="dcterms:W3CDTF">2025-01-17T11:23:08Z</dcterms:modified>
  <cp:revision>1</cp:revision>
  <dc:subject/>
  <dc:title/>
</cp:coreProperties>
</file>