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media/image2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eastAsia="Calibri"/>
          <w:b/>
          <w:bCs/>
          <w:szCs w:val="28"/>
        </w:rPr>
        <w:t xml:space="preserve"> </w:t>
      </w:r>
      <w:r>
        <w:rPr/>
        <w:drawing>
          <wp:inline distT="0" distB="0" distL="0" distR="0">
            <wp:extent cx="1981200" cy="7334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/>
          <w:bCs/>
          <w:szCs w:val="28"/>
        </w:rPr>
        <w:t xml:space="preserve">                                    </w:t>
      </w:r>
      <w:r>
        <w:rPr>
          <w:rFonts w:eastAsia="Times New Roman" w:cs="Times New Roman"/>
          <w:b/>
          <w:bCs/>
          <w:sz w:val="28"/>
          <w:szCs w:val="28"/>
        </w:rPr>
        <w:t xml:space="preserve">                                      </w:t>
      </w:r>
    </w:p>
    <w:p>
      <w:pPr>
        <w:pStyle w:val="Standard"/>
        <w:rPr>
          <w:rFonts w:ascii="Times New Roman" w:hAnsi="Times New Roman"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</w:p>
    <w:p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ПРЕСС-РЕЛИЗ</w:t>
      </w:r>
    </w:p>
    <w:p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pBdr/>
        <w:shd w:val="clear" w:color="FFFFFF" w:fill="FFFFFF"/>
        <w:spacing w:before="0" w:after="150"/>
        <w:ind w:left="0" w:right="0" w:hanging="0"/>
        <w:jc w:val="both"/>
        <w:rPr>
          <w:rFonts w:ascii="Times New Roman" w:hAnsi="Times New Roman" w:cs="Times New Roman"/>
          <w:b w:val="false"/>
          <w:bCs w:val="false"/>
          <w:color w:val="000000" w:themeColor="text1"/>
          <w:sz w:val="28"/>
          <w:szCs w:val="28"/>
        </w:rPr>
      </w:pPr>
      <w:r>
        <w:rPr>
          <w:rStyle w:val="-"/>
          <w:rFonts w:eastAsia="Times New Roman" w:cs="Times New Roman" w:ascii="Times New Roman" w:hAnsi="Times New Roman"/>
          <w:b/>
          <w:color w:val="000000" w:themeColor="text1"/>
          <w:sz w:val="28"/>
          <w:szCs w:val="28"/>
          <w:u w:val="single"/>
        </w:rPr>
        <w:t xml:space="preserve">Федеральный закон от 26.12.2024 № 487-ФЗ 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>внёс глобальные изменения в сферу недвижимости: например, без межевания земельного участка теперь нельзя совершать сделки с правами недвижимости, после строительства дома необходимо сразу же его поставить на кадастровый учет и зарегистрировать права, а также выкупить участок под зданием и сооружением, который находится в вашей собственности и многие другие.</w:t>
      </w:r>
    </w:p>
    <w:p>
      <w:pPr>
        <w:pStyle w:val="Normal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 xml:space="preserve">Одна из норм внесла важные изменения </w:t>
      </w: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</w:rPr>
        <w:t xml:space="preserve">в процедуру оформления ранее учтенных объектов недвижимости. </w:t>
      </w:r>
    </w:p>
    <w:p>
      <w:pPr>
        <w:pStyle w:val="Normal"/>
        <w:pBdr/>
        <w:shd w:val="clear" w:color="FFFFFF" w:fill="FFFFFF"/>
        <w:spacing w:before="0" w:after="150"/>
        <w:ind w:left="0" w:right="0" w:hanging="0"/>
        <w:jc w:val="both"/>
        <w:rPr>
          <w:rFonts w:ascii="Times New Roman" w:hAnsi="Times New Roman" w:eastAsia="Times New Roman" w:cs="Times New Roman"/>
          <w:b w:val="false"/>
          <w:bCs w:val="false"/>
          <w:color w:val="000000" w:themeColor="text1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 xml:space="preserve">С указанной даты внесение в Единый государственный реестр недвижимости (ЕГРН) сведений о ранее учтенных объектах недвижимости (объектах капитального строительства и земельных участках) возможно только при представлении </w:t>
      </w: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</w:rPr>
        <w:t>технического плана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 xml:space="preserve"> или </w:t>
      </w: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</w:rPr>
        <w:t>межевого плана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>.</w:t>
      </w:r>
    </w:p>
    <w:p>
      <w:pPr>
        <w:pStyle w:val="Normal"/>
        <w:pBdr/>
        <w:shd w:val="clear" w:color="FFFFFF" w:fill="FFFFFF"/>
        <w:spacing w:before="0" w:after="150"/>
        <w:ind w:left="0" w:right="0" w:hanging="0"/>
        <w:jc w:val="both"/>
        <w:rPr>
          <w:rFonts w:ascii="Times New Roman" w:hAnsi="Times New Roman" w:cs="Times New Roman"/>
          <w:b w:val="false"/>
          <w:bCs w:val="false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</w:rPr>
        <w:t>Ранее учтенные объекты недвижимости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 xml:space="preserve"> – объекты (земельные участки и объекты капитального строительства – здания, сооружения, помещения), в отношении которых технический учет или государственный учет осуществлен до 1 марта 2008 года, а также объекты, в отношении которых такой учет не осуществлен, но права на них зарегистрированы в ЕГРН с присвоением условных номеров в порядке, установленном в соответствии с Федеральным законом № 122-ФЗ.</w:t>
      </w:r>
    </w:p>
    <w:p>
      <w:pPr>
        <w:pStyle w:val="Normal"/>
        <w:pBdr/>
        <w:shd w:val="clear" w:color="FFFFFF" w:fill="FFFFFF"/>
        <w:spacing w:before="0" w:after="150"/>
        <w:ind w:left="0" w:right="0" w:hanging="0"/>
        <w:jc w:val="both"/>
        <w:rPr>
          <w:rFonts w:ascii="Times New Roman" w:hAnsi="Times New Roman" w:cs="Times New Roman"/>
          <w:b w:val="false"/>
          <w:bCs w:val="false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>Так, в отношении земельного участка необходимо представить документ, устанавливающий или подтверждающий право земельный участок (например, старое свидетельство, государственный акт или выписку из похозяйственной книги) и межевой план. В отношении здания, сооружения, объекта незавершенного строительства, помещения, машино-места – правоустанавливающий документ на такой объект недвижимости и технический план.</w:t>
      </w:r>
    </w:p>
    <w:p>
      <w:pPr>
        <w:pStyle w:val="Normal"/>
        <w:pBdr/>
        <w:shd w:val="clear" w:color="FFFFFF" w:fill="FFFFFF"/>
        <w:spacing w:before="0" w:after="150"/>
        <w:ind w:left="0" w:right="0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>Исключение составляют только случаи, когда с заявлением о внесении сведений о ранее учтенном объекте недвижимости в ЕГРН обращается уполномоченный орган, выполняющий мероприятия по обеспечению внесения в ЕГРН сведений о выявленных правообладателях (не требуется представление межевого плана и технического плана).</w:t>
      </w:r>
    </w:p>
    <w:p>
      <w:pPr>
        <w:pStyle w:val="Normal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 xml:space="preserve">С 1 марта 2025 года отсутствие в пакете документов вновь изготовленного межевого (если речь идет о земельном участке) или технического плана (на объект капитального строительства) является причиной для вынесения решения о </w:t>
      </w: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</w:rPr>
        <w:t>приостановлении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 xml:space="preserve"> в проведении учетно-регистрационных действий.</w:t>
      </w:r>
    </w:p>
    <w:p>
      <w:pPr>
        <w:pStyle w:val="Normal"/>
        <w:pBdr/>
        <w:shd w:val="clear" w:color="FFFFFF" w:fill="FFFFFF"/>
        <w:spacing w:before="0" w:after="150"/>
        <w:ind w:left="0" w:right="0" w:hanging="0"/>
        <w:jc w:val="both"/>
        <w:rPr>
          <w:rFonts w:ascii="Times New Roman" w:hAnsi="Times New Roman" w:eastAsia="Times New Roman" w:cs="Times New Roman"/>
          <w:b w:val="false"/>
          <w:bCs w:val="false"/>
          <w:color w:val="000000" w:themeColor="text1"/>
          <w:sz w:val="28"/>
          <w:szCs w:val="28"/>
          <w:highlight w:val="none"/>
        </w:rPr>
      </w:pPr>
      <w:r>
        <w:rPr/>
        <w:drawing>
          <wp:inline distT="0" distB="0" distL="0" distR="0">
            <wp:extent cx="4858385" cy="4858385"/>
            <wp:effectExtent l="0" t="0" r="0" b="0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385" cy="485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pBdr/>
        <w:shd w:val="clear" w:color="FFFFFF" w:fill="FFFFFF"/>
        <w:spacing w:before="0" w:after="150"/>
        <w:ind w:left="0" w:right="0" w:hanging="0"/>
        <w:jc w:val="both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ascii="PT Astra Serif" w:hAnsi="PT Astra Serif" w:cs="Noto Sans Devanagari"/>
    </w:rPr>
  </w:style>
  <w:style w:type="paragraph" w:styleId="Style12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4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5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16">
    <w:name w:val="Колонтитул"/>
    <w:basedOn w:val="Normal"/>
    <w:qFormat/>
    <w:pPr/>
    <w:rPr/>
  </w:style>
  <w:style w:type="paragraph" w:styleId="Style17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8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0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1">
    <w:name w:val="Index Heading"/>
    <w:basedOn w:val="Style9"/>
    <w:pPr/>
    <w:rPr/>
  </w:style>
  <w:style w:type="paragraph" w:styleId="Style22">
    <w:name w:val="TOC Heading"/>
    <w:uiPriority w:val="39"/>
    <w:unhideWhenUsed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Standard" w:customStyle="1">
    <w:name w:val="Standard"/>
    <w:qFormat/>
    <w:pPr>
      <w:keepNext w:val="false"/>
      <w:keepLines w:val="false"/>
      <w:pageBreakBefore w:val="false"/>
      <w:widowControl/>
      <w:pBdr/>
      <w:shd w:val="nil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8"/>
      <w:sz w:val="28"/>
      <w:szCs w:val="20"/>
      <w:u w:val="none"/>
      <w:vertAlign w:val="baseline"/>
      <w:lang w:val="ru-RU" w:eastAsia="ru-RU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LibreOffice/7.5.6.2$Linux_X86_64 LibreOffice_project/50$Build-2</Application>
  <AppVersion>15.0000</AppVersion>
  <Pages>2</Pages>
  <Words>278</Words>
  <Characters>1935</Characters>
  <CharactersWithSpaces>2284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2025-05-28T10:45:58Z</dcterms:modified>
  <cp:revision>4</cp:revision>
  <dc:subject/>
  <dc:title/>
</cp:coreProperties>
</file>